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D8D" w:rsidRPr="008C3B3E" w:rsidRDefault="00467D8D" w:rsidP="00467D8D">
      <w:pPr>
        <w:spacing w:after="0" w:line="240" w:lineRule="auto"/>
        <w:jc w:val="center"/>
        <w:rPr>
          <w:rFonts w:asciiTheme="minorBidi" w:hAnsiTheme="minorBidi"/>
          <w:b/>
          <w:color w:val="2C55A2"/>
          <w:sz w:val="24"/>
          <w:szCs w:val="24"/>
        </w:rPr>
      </w:pPr>
      <w:r w:rsidRPr="008C3B3E">
        <w:rPr>
          <w:rFonts w:asciiTheme="minorBidi" w:hAnsiTheme="minorBidi"/>
          <w:b/>
          <w:color w:val="2C55A2"/>
          <w:sz w:val="24"/>
          <w:szCs w:val="24"/>
        </w:rPr>
        <w:t>Wednesday 12 December 2018, 4.20pm – 6.30pm</w:t>
      </w:r>
    </w:p>
    <w:p w:rsidR="00467D8D" w:rsidRPr="008C3B3E" w:rsidRDefault="00467D8D" w:rsidP="00467D8D">
      <w:pPr>
        <w:spacing w:after="0" w:line="240" w:lineRule="auto"/>
        <w:jc w:val="center"/>
        <w:rPr>
          <w:rFonts w:asciiTheme="minorBidi" w:hAnsiTheme="minorBidi"/>
          <w:b/>
          <w:color w:val="2C55A2"/>
          <w:sz w:val="24"/>
          <w:szCs w:val="24"/>
        </w:rPr>
      </w:pPr>
      <w:r w:rsidRPr="008C3B3E">
        <w:rPr>
          <w:rFonts w:asciiTheme="minorBidi" w:hAnsiTheme="minorBidi"/>
          <w:b/>
          <w:color w:val="2C55A2"/>
          <w:sz w:val="24"/>
          <w:szCs w:val="24"/>
        </w:rPr>
        <w:t xml:space="preserve">Lecture Theatre </w:t>
      </w:r>
      <w:r>
        <w:rPr>
          <w:rFonts w:asciiTheme="minorBidi" w:hAnsiTheme="minorBidi"/>
          <w:b/>
          <w:color w:val="2C55A2"/>
          <w:sz w:val="24"/>
          <w:szCs w:val="24"/>
        </w:rPr>
        <w:t>12</w:t>
      </w:r>
      <w:r w:rsidRPr="008C3B3E">
        <w:rPr>
          <w:rFonts w:asciiTheme="minorBidi" w:hAnsiTheme="minorBidi"/>
          <w:b/>
          <w:color w:val="2C55A2"/>
          <w:sz w:val="24"/>
          <w:szCs w:val="24"/>
        </w:rPr>
        <w:t>, Wilberforce Building</w:t>
      </w:r>
    </w:p>
    <w:p w:rsidR="00467D8D" w:rsidRPr="008C3B3E" w:rsidRDefault="00467D8D" w:rsidP="00467D8D">
      <w:pPr>
        <w:spacing w:after="0" w:line="240" w:lineRule="auto"/>
        <w:jc w:val="center"/>
        <w:rPr>
          <w:rFonts w:asciiTheme="minorBidi" w:hAnsiTheme="minorBidi"/>
          <w:color w:val="2C55A2"/>
          <w:sz w:val="36"/>
          <w:szCs w:val="36"/>
        </w:rPr>
      </w:pPr>
    </w:p>
    <w:p w:rsidR="00467D8D" w:rsidRPr="008C3B3E" w:rsidRDefault="00467D8D" w:rsidP="00467D8D">
      <w:pPr>
        <w:spacing w:after="0" w:line="240" w:lineRule="auto"/>
        <w:jc w:val="center"/>
        <w:rPr>
          <w:rFonts w:asciiTheme="minorBidi" w:hAnsiTheme="minorBidi"/>
          <w:b/>
          <w:bCs/>
          <w:color w:val="2C55A2"/>
          <w:sz w:val="48"/>
          <w:szCs w:val="48"/>
          <w:lang w:val="en-US"/>
        </w:rPr>
      </w:pPr>
      <w:r w:rsidRPr="008C3B3E">
        <w:rPr>
          <w:rFonts w:asciiTheme="minorBidi" w:hAnsiTheme="minorBidi"/>
          <w:b/>
          <w:bCs/>
          <w:color w:val="2C55A2"/>
          <w:sz w:val="48"/>
          <w:szCs w:val="48"/>
          <w:lang w:val="en-US"/>
        </w:rPr>
        <w:t>US-Israel Relationships 1947-2001</w:t>
      </w:r>
    </w:p>
    <w:p w:rsidR="00467D8D" w:rsidRPr="008C3B3E" w:rsidRDefault="00467D8D" w:rsidP="00467D8D">
      <w:pPr>
        <w:spacing w:after="0" w:line="240" w:lineRule="auto"/>
        <w:jc w:val="center"/>
        <w:rPr>
          <w:rFonts w:asciiTheme="minorBidi" w:hAnsiTheme="minorBidi"/>
          <w:color w:val="2C55A2"/>
          <w:lang w:val="en-US"/>
        </w:rPr>
      </w:pPr>
    </w:p>
    <w:p w:rsidR="00467D8D" w:rsidRPr="008C3B3E" w:rsidRDefault="00467D8D" w:rsidP="00467D8D">
      <w:pPr>
        <w:spacing w:after="0" w:line="240" w:lineRule="auto"/>
        <w:jc w:val="center"/>
        <w:rPr>
          <w:rFonts w:asciiTheme="minorBidi" w:hAnsiTheme="minorBidi"/>
          <w:b/>
          <w:bCs/>
          <w:color w:val="2C55A2"/>
          <w:sz w:val="32"/>
          <w:szCs w:val="32"/>
          <w:lang w:val="en-US"/>
        </w:rPr>
      </w:pPr>
      <w:r w:rsidRPr="008C3B3E">
        <w:rPr>
          <w:rFonts w:asciiTheme="minorBidi" w:hAnsiTheme="minorBidi"/>
          <w:b/>
          <w:bCs/>
          <w:color w:val="2C55A2"/>
          <w:sz w:val="32"/>
          <w:szCs w:val="32"/>
          <w:lang w:val="en-US"/>
        </w:rPr>
        <w:t xml:space="preserve">Professor Raphael </w:t>
      </w:r>
      <w:bookmarkStart w:id="0" w:name="_GoBack"/>
      <w:r w:rsidRPr="008C3B3E">
        <w:rPr>
          <w:rFonts w:asciiTheme="minorBidi" w:hAnsiTheme="minorBidi"/>
          <w:b/>
          <w:bCs/>
          <w:color w:val="2C55A2"/>
          <w:sz w:val="32"/>
          <w:szCs w:val="32"/>
          <w:lang w:val="en-US"/>
        </w:rPr>
        <w:t>Cohen-Almagor</w:t>
      </w:r>
      <w:bookmarkEnd w:id="0"/>
    </w:p>
    <w:p w:rsidR="00467D8D" w:rsidRPr="008C3B3E" w:rsidRDefault="00467D8D" w:rsidP="00467D8D">
      <w:pPr>
        <w:spacing w:after="0" w:line="240" w:lineRule="auto"/>
        <w:jc w:val="center"/>
        <w:rPr>
          <w:rFonts w:asciiTheme="minorBidi" w:hAnsiTheme="minorBidi"/>
          <w:b/>
          <w:bCs/>
          <w:color w:val="2C55A2"/>
          <w:sz w:val="28"/>
          <w:szCs w:val="28"/>
          <w:lang w:val="en-US"/>
        </w:rPr>
      </w:pPr>
      <w:r w:rsidRPr="008C3B3E">
        <w:rPr>
          <w:rFonts w:asciiTheme="minorBidi" w:hAnsiTheme="minorBidi"/>
          <w:b/>
          <w:bCs/>
          <w:color w:val="2C55A2"/>
          <w:sz w:val="28"/>
          <w:szCs w:val="28"/>
          <w:lang w:val="en-US"/>
        </w:rPr>
        <w:t>Chair in Politics</w:t>
      </w:r>
    </w:p>
    <w:p w:rsidR="00467D8D" w:rsidRPr="008C3B3E" w:rsidRDefault="00467D8D" w:rsidP="00467D8D">
      <w:pPr>
        <w:spacing w:after="0" w:line="240" w:lineRule="auto"/>
        <w:jc w:val="center"/>
        <w:rPr>
          <w:rFonts w:asciiTheme="minorBidi" w:hAnsiTheme="minorBidi"/>
          <w:b/>
          <w:color w:val="2C55A2"/>
          <w:sz w:val="24"/>
          <w:szCs w:val="24"/>
        </w:rPr>
      </w:pPr>
      <w:r w:rsidRPr="008C3B3E">
        <w:rPr>
          <w:rFonts w:asciiTheme="minorBidi" w:hAnsiTheme="minorBidi"/>
          <w:b/>
          <w:color w:val="2C55A2"/>
          <w:sz w:val="24"/>
          <w:szCs w:val="24"/>
        </w:rPr>
        <w:t>University of Hull, UK</w:t>
      </w:r>
    </w:p>
    <w:p w:rsidR="00467D8D" w:rsidRPr="008C3B3E" w:rsidRDefault="00467D8D" w:rsidP="00467D8D">
      <w:pPr>
        <w:spacing w:after="0" w:line="240" w:lineRule="auto"/>
        <w:rPr>
          <w:rFonts w:asciiTheme="minorBidi" w:hAnsiTheme="minorBidi"/>
          <w:sz w:val="20"/>
          <w:szCs w:val="20"/>
        </w:rPr>
      </w:pPr>
    </w:p>
    <w:p w:rsidR="00467D8D" w:rsidRPr="008C3B3E" w:rsidRDefault="00467D8D" w:rsidP="00467D8D">
      <w:pPr>
        <w:spacing w:after="0" w:line="240" w:lineRule="auto"/>
        <w:rPr>
          <w:rFonts w:asciiTheme="minorBidi" w:hAnsiTheme="minorBidi"/>
          <w:sz w:val="20"/>
          <w:szCs w:val="20"/>
        </w:rPr>
      </w:pPr>
    </w:p>
    <w:p w:rsidR="00467D8D" w:rsidRPr="008C3B3E" w:rsidRDefault="00467D8D" w:rsidP="00467D8D">
      <w:pPr>
        <w:spacing w:after="0" w:line="240" w:lineRule="auto"/>
        <w:rPr>
          <w:rFonts w:asciiTheme="minorBidi" w:hAnsiTheme="minorBidi"/>
          <w:sz w:val="20"/>
          <w:szCs w:val="20"/>
        </w:rPr>
      </w:pPr>
    </w:p>
    <w:p w:rsidR="00467D8D" w:rsidRPr="008C3B3E" w:rsidRDefault="00467D8D" w:rsidP="00467D8D">
      <w:pPr>
        <w:spacing w:after="0" w:line="240" w:lineRule="auto"/>
        <w:rPr>
          <w:rFonts w:asciiTheme="minorBidi" w:hAnsiTheme="minorBidi"/>
          <w:b/>
          <w:sz w:val="23"/>
          <w:szCs w:val="23"/>
        </w:rPr>
      </w:pPr>
      <w:r w:rsidRPr="008C3B3E">
        <w:rPr>
          <w:rFonts w:asciiTheme="minorBidi" w:hAnsiTheme="minorBidi"/>
          <w:b/>
          <w:sz w:val="23"/>
          <w:szCs w:val="23"/>
        </w:rPr>
        <w:t>Abstract</w:t>
      </w:r>
    </w:p>
    <w:p w:rsidR="00467D8D" w:rsidRPr="008C3B3E" w:rsidRDefault="00467D8D" w:rsidP="00467D8D">
      <w:pPr>
        <w:spacing w:after="0" w:line="240" w:lineRule="auto"/>
        <w:rPr>
          <w:rFonts w:asciiTheme="minorBidi" w:hAnsiTheme="minorBidi"/>
          <w:sz w:val="20"/>
          <w:szCs w:val="20"/>
        </w:rPr>
      </w:pPr>
    </w:p>
    <w:p w:rsidR="00467D8D" w:rsidRPr="008C3B3E" w:rsidRDefault="00467D8D" w:rsidP="00467D8D">
      <w:pPr>
        <w:spacing w:after="0" w:line="240" w:lineRule="auto"/>
        <w:jc w:val="both"/>
        <w:rPr>
          <w:rFonts w:asciiTheme="minorBidi" w:hAnsiTheme="minorBidi"/>
          <w:lang w:val="en-US"/>
        </w:rPr>
      </w:pPr>
      <w:r w:rsidRPr="008C3B3E">
        <w:rPr>
          <w:rFonts w:asciiTheme="minorBidi" w:hAnsiTheme="minorBidi"/>
          <w:lang w:val="en-US"/>
        </w:rPr>
        <w:t xml:space="preserve">The aim of this </w:t>
      </w:r>
      <w:r w:rsidRPr="008C3B3E">
        <w:rPr>
          <w:rFonts w:asciiTheme="minorBidi" w:hAnsiTheme="minorBidi"/>
        </w:rPr>
        <w:t>lecture</w:t>
      </w:r>
      <w:r w:rsidRPr="008C3B3E">
        <w:rPr>
          <w:rFonts w:asciiTheme="minorBidi" w:hAnsiTheme="minorBidi"/>
          <w:lang w:val="en-US"/>
        </w:rPr>
        <w:t xml:space="preserve"> is to explain the development of US-Israel relationships from the 1947 UN partition plan until the end of the Clinton presidency in 2001. The presentation analyses the interests of the relevant American administrations (no. 33-42), from Harry S. Truman to William J. Clinton, and how they manifested themselves vis-a-vis Israel. The lecture explains the slow buildup of relationships, the ups and downs, the key factors that played a part in shaping the American perspective, and the reasons for the close alliance between the two countries, as is clearly evident today.</w:t>
      </w:r>
    </w:p>
    <w:p w:rsidR="00467D8D" w:rsidRPr="008C3B3E" w:rsidRDefault="00467D8D" w:rsidP="00467D8D">
      <w:pPr>
        <w:spacing w:after="0" w:line="240" w:lineRule="auto"/>
        <w:rPr>
          <w:rFonts w:asciiTheme="minorBidi" w:hAnsiTheme="minorBidi"/>
          <w:sz w:val="20"/>
          <w:szCs w:val="20"/>
          <w:lang w:val="en-US"/>
        </w:rPr>
      </w:pPr>
    </w:p>
    <w:p w:rsidR="00467D8D" w:rsidRDefault="00467D8D" w:rsidP="00467D8D">
      <w:pPr>
        <w:spacing w:after="0" w:line="240" w:lineRule="auto"/>
        <w:rPr>
          <w:rFonts w:asciiTheme="minorBidi" w:hAnsiTheme="minorBidi"/>
          <w:sz w:val="20"/>
          <w:szCs w:val="20"/>
        </w:rPr>
      </w:pPr>
    </w:p>
    <w:p w:rsidR="00467D8D" w:rsidRPr="008C3B3E" w:rsidRDefault="00467D8D" w:rsidP="00467D8D">
      <w:pPr>
        <w:spacing w:after="0" w:line="240" w:lineRule="auto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noProof/>
          <w:sz w:val="20"/>
          <w:szCs w:val="20"/>
          <w:lang w:eastAsia="zh-CN" w:bidi="he-IL"/>
        </w:rPr>
        <w:drawing>
          <wp:inline distT="0" distB="0" distL="0" distR="0" wp14:anchorId="592856C7" wp14:editId="7B95E389">
            <wp:extent cx="4191000" cy="2714625"/>
            <wp:effectExtent l="0" t="0" r="0" b="0"/>
            <wp:docPr id="4" name="Antwerp sitting 20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twerp sitting 201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3673" cy="3428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D8D" w:rsidRPr="008C3B3E" w:rsidRDefault="00467D8D" w:rsidP="00467D8D">
      <w:pPr>
        <w:spacing w:after="0" w:line="240" w:lineRule="auto"/>
        <w:rPr>
          <w:rFonts w:asciiTheme="minorBidi" w:hAnsiTheme="minorBidi"/>
          <w:sz w:val="20"/>
          <w:szCs w:val="20"/>
        </w:rPr>
      </w:pPr>
    </w:p>
    <w:p w:rsidR="00467D8D" w:rsidRDefault="00467D8D" w:rsidP="00467D8D">
      <w:pPr>
        <w:spacing w:after="0" w:line="240" w:lineRule="auto"/>
        <w:rPr>
          <w:rFonts w:asciiTheme="minorBidi" w:hAnsiTheme="minorBidi"/>
          <w:b/>
          <w:sz w:val="23"/>
          <w:szCs w:val="23"/>
        </w:rPr>
      </w:pPr>
    </w:p>
    <w:p w:rsidR="00467D8D" w:rsidRPr="008C3B3E" w:rsidRDefault="00467D8D" w:rsidP="00467D8D">
      <w:pPr>
        <w:spacing w:after="0" w:line="240" w:lineRule="auto"/>
        <w:rPr>
          <w:rFonts w:asciiTheme="minorBidi" w:hAnsiTheme="minorBidi"/>
          <w:b/>
          <w:sz w:val="23"/>
          <w:szCs w:val="23"/>
        </w:rPr>
      </w:pPr>
      <w:r w:rsidRPr="008C3B3E">
        <w:rPr>
          <w:rFonts w:asciiTheme="minorBidi" w:hAnsiTheme="minorBidi"/>
          <w:b/>
          <w:sz w:val="23"/>
          <w:szCs w:val="23"/>
        </w:rPr>
        <w:t>Biography</w:t>
      </w:r>
    </w:p>
    <w:p w:rsidR="00467D8D" w:rsidRPr="008C3B3E" w:rsidRDefault="00467D8D" w:rsidP="00467D8D">
      <w:pPr>
        <w:spacing w:after="0" w:line="240" w:lineRule="auto"/>
        <w:rPr>
          <w:rFonts w:asciiTheme="minorBidi" w:hAnsiTheme="minorBidi"/>
          <w:sz w:val="20"/>
          <w:szCs w:val="20"/>
        </w:rPr>
      </w:pPr>
    </w:p>
    <w:p w:rsidR="00467D8D" w:rsidRPr="008C3B3E" w:rsidRDefault="00467D8D" w:rsidP="00467D8D">
      <w:pPr>
        <w:spacing w:after="0" w:line="240" w:lineRule="auto"/>
        <w:jc w:val="both"/>
        <w:rPr>
          <w:rFonts w:asciiTheme="minorBidi" w:hAnsiTheme="minorBidi"/>
        </w:rPr>
      </w:pPr>
      <w:r w:rsidRPr="008C3B3E">
        <w:rPr>
          <w:rFonts w:asciiTheme="minorBidi" w:hAnsiTheme="minorBidi"/>
        </w:rPr>
        <w:t xml:space="preserve">Raphael Cohen-Almagor, DPhil Oxford, is Chair in Politics, and Founding Director of </w:t>
      </w:r>
      <w:proofErr w:type="gramStart"/>
      <w:r w:rsidRPr="008C3B3E">
        <w:rPr>
          <w:rFonts w:asciiTheme="minorBidi" w:hAnsiTheme="minorBidi"/>
        </w:rPr>
        <w:t>The</w:t>
      </w:r>
      <w:proofErr w:type="gramEnd"/>
      <w:r w:rsidRPr="008C3B3E">
        <w:rPr>
          <w:rFonts w:asciiTheme="minorBidi" w:hAnsiTheme="minorBidi"/>
        </w:rPr>
        <w:t xml:space="preserve"> Middle East Study Group, University of Hull. He has founded several other organizations, including "The Second Generation to Holocaust and Heroism Remembrance" Organization (1982-1987); The Van Leer Medical Ethics Think-tank (1995-1998), and The </w:t>
      </w:r>
      <w:proofErr w:type="spellStart"/>
      <w:r w:rsidRPr="008C3B3E">
        <w:rPr>
          <w:rFonts w:asciiTheme="minorBidi" w:hAnsiTheme="minorBidi"/>
        </w:rPr>
        <w:t>Center</w:t>
      </w:r>
      <w:proofErr w:type="spellEnd"/>
      <w:r w:rsidRPr="008C3B3E">
        <w:rPr>
          <w:rFonts w:asciiTheme="minorBidi" w:hAnsiTheme="minorBidi"/>
        </w:rPr>
        <w:t xml:space="preserve"> for Democratic Studies, University of Haifa (2003-2007). Raphael was Fulbright-Yitzhak Rabin Visiting Professor at UCLA School of Law (1999-2000), Visiting Professor at Johns Hopkins University (2003-2004), and Fellow at the Woodrow Wilson International </w:t>
      </w:r>
      <w:proofErr w:type="spellStart"/>
      <w:r w:rsidRPr="008C3B3E">
        <w:rPr>
          <w:rFonts w:asciiTheme="minorBidi" w:hAnsiTheme="minorBidi"/>
        </w:rPr>
        <w:t>Center</w:t>
      </w:r>
      <w:proofErr w:type="spellEnd"/>
      <w:r w:rsidRPr="008C3B3E">
        <w:rPr>
          <w:rFonts w:asciiTheme="minorBidi" w:hAnsiTheme="minorBidi"/>
        </w:rPr>
        <w:t xml:space="preserve"> for Scholars (2007-2008). To date he has published seventeen books and more than 200 articles in the fields of political science, philosophy, law and ethics, including</w:t>
      </w:r>
      <w:r w:rsidRPr="008C3B3E">
        <w:rPr>
          <w:rFonts w:asciiTheme="minorBidi" w:hAnsiTheme="minorBidi"/>
          <w:i/>
          <w:iCs/>
        </w:rPr>
        <w:t xml:space="preserve"> The Boundaries of Liberty and Tolerance (1994),</w:t>
      </w:r>
      <w:r w:rsidRPr="008C3B3E">
        <w:rPr>
          <w:rFonts w:asciiTheme="minorBidi" w:hAnsiTheme="minorBidi"/>
          <w:b/>
          <w:bCs/>
        </w:rPr>
        <w:t xml:space="preserve"> </w:t>
      </w:r>
      <w:r w:rsidRPr="008C3B3E">
        <w:rPr>
          <w:rFonts w:asciiTheme="minorBidi" w:hAnsiTheme="minorBidi"/>
          <w:i/>
          <w:iCs/>
        </w:rPr>
        <w:t xml:space="preserve">The Right to Die with Dignity (2001), Speech, Media and Ethics (2001, 2005), The Scope of Tolerance (2006, 2007), and Confronting the Internet's Dark Side (2015). </w:t>
      </w:r>
      <w:r w:rsidRPr="008C3B3E">
        <w:rPr>
          <w:rFonts w:asciiTheme="minorBidi" w:hAnsiTheme="minorBidi"/>
        </w:rPr>
        <w:t>Presently he is writing two books: one on the Israeli-Palestinian peace process and another on multiculturalism. He is also completing his third book of poems.</w:t>
      </w:r>
    </w:p>
    <w:p w:rsidR="00467D8D" w:rsidRPr="008C3B3E" w:rsidRDefault="00467D8D" w:rsidP="00467D8D">
      <w:pPr>
        <w:spacing w:after="0" w:line="240" w:lineRule="auto"/>
        <w:rPr>
          <w:rFonts w:asciiTheme="minorBidi" w:hAnsiTheme="minorBidi"/>
          <w:sz w:val="20"/>
          <w:szCs w:val="20"/>
        </w:rPr>
      </w:pPr>
    </w:p>
    <w:p w:rsidR="00467D8D" w:rsidRPr="008C3B3E" w:rsidRDefault="00467D8D" w:rsidP="00467D8D">
      <w:pPr>
        <w:spacing w:after="0" w:line="240" w:lineRule="auto"/>
        <w:rPr>
          <w:rFonts w:asciiTheme="minorBidi" w:hAnsiTheme="minorBidi"/>
          <w:sz w:val="20"/>
          <w:szCs w:val="20"/>
        </w:rPr>
      </w:pPr>
    </w:p>
    <w:p w:rsidR="00467D8D" w:rsidRPr="008C3B3E" w:rsidRDefault="00467D8D" w:rsidP="00467D8D">
      <w:pPr>
        <w:spacing w:after="0" w:line="240" w:lineRule="auto"/>
        <w:rPr>
          <w:rFonts w:asciiTheme="minorBidi" w:hAnsiTheme="minorBidi"/>
          <w:b/>
          <w:color w:val="2C55A2"/>
          <w:sz w:val="23"/>
          <w:szCs w:val="23"/>
        </w:rPr>
      </w:pPr>
      <w:r w:rsidRPr="008C3B3E">
        <w:rPr>
          <w:rFonts w:asciiTheme="minorBidi" w:hAnsiTheme="minorBidi"/>
          <w:b/>
          <w:sz w:val="23"/>
          <w:szCs w:val="23"/>
        </w:rPr>
        <w:lastRenderedPageBreak/>
        <w:t>Date:</w:t>
      </w:r>
      <w:r w:rsidRPr="008C3B3E">
        <w:rPr>
          <w:rFonts w:asciiTheme="minorBidi" w:hAnsiTheme="minorBidi"/>
          <w:b/>
          <w:sz w:val="23"/>
          <w:szCs w:val="23"/>
        </w:rPr>
        <w:tab/>
      </w:r>
      <w:r w:rsidRPr="008C3B3E">
        <w:rPr>
          <w:rFonts w:asciiTheme="minorBidi" w:hAnsiTheme="minorBidi"/>
          <w:b/>
          <w:sz w:val="23"/>
          <w:szCs w:val="23"/>
        </w:rPr>
        <w:tab/>
      </w:r>
      <w:r w:rsidRPr="008C3B3E">
        <w:rPr>
          <w:rFonts w:asciiTheme="minorBidi" w:hAnsiTheme="minorBidi"/>
          <w:b/>
          <w:color w:val="2C55A2"/>
          <w:sz w:val="23"/>
          <w:szCs w:val="23"/>
        </w:rPr>
        <w:t>Wednesday 12 December 2018, 4.20pm – 6.30pm</w:t>
      </w:r>
    </w:p>
    <w:p w:rsidR="00467D8D" w:rsidRPr="008C3B3E" w:rsidRDefault="00467D8D" w:rsidP="00467D8D">
      <w:pPr>
        <w:spacing w:after="0" w:line="240" w:lineRule="auto"/>
        <w:rPr>
          <w:rFonts w:asciiTheme="minorBidi" w:hAnsiTheme="minorBidi"/>
          <w:sz w:val="23"/>
          <w:szCs w:val="23"/>
        </w:rPr>
      </w:pPr>
      <w:r w:rsidRPr="008C3B3E">
        <w:rPr>
          <w:rFonts w:asciiTheme="minorBidi" w:hAnsiTheme="minorBidi"/>
          <w:b/>
          <w:sz w:val="23"/>
          <w:szCs w:val="23"/>
        </w:rPr>
        <w:t>Venue:</w:t>
      </w:r>
      <w:r w:rsidRPr="008C3B3E">
        <w:rPr>
          <w:rFonts w:asciiTheme="minorBidi" w:hAnsiTheme="minorBidi"/>
          <w:sz w:val="23"/>
          <w:szCs w:val="23"/>
        </w:rPr>
        <w:tab/>
      </w:r>
      <w:r w:rsidRPr="008C3B3E">
        <w:rPr>
          <w:rFonts w:asciiTheme="minorBidi" w:hAnsiTheme="minorBidi"/>
          <w:bCs/>
          <w:sz w:val="23"/>
          <w:szCs w:val="23"/>
        </w:rPr>
        <w:t xml:space="preserve">Lecture Theatre </w:t>
      </w:r>
      <w:r>
        <w:rPr>
          <w:rFonts w:asciiTheme="minorBidi" w:hAnsiTheme="minorBidi"/>
          <w:bCs/>
          <w:sz w:val="23"/>
          <w:szCs w:val="23"/>
        </w:rPr>
        <w:t>12</w:t>
      </w:r>
      <w:r w:rsidRPr="008C3B3E">
        <w:rPr>
          <w:rFonts w:asciiTheme="minorBidi" w:hAnsiTheme="minorBidi"/>
          <w:bCs/>
          <w:sz w:val="23"/>
          <w:szCs w:val="23"/>
        </w:rPr>
        <w:t>, Wilberforce Building</w:t>
      </w:r>
    </w:p>
    <w:p w:rsidR="00467D8D" w:rsidRPr="008C3B3E" w:rsidRDefault="00467D8D" w:rsidP="00467D8D">
      <w:pPr>
        <w:spacing w:after="0" w:line="240" w:lineRule="auto"/>
        <w:rPr>
          <w:rFonts w:asciiTheme="minorBidi" w:hAnsiTheme="minorBidi"/>
          <w:sz w:val="20"/>
          <w:szCs w:val="20"/>
        </w:rPr>
      </w:pPr>
    </w:p>
    <w:p w:rsidR="00467D8D" w:rsidRPr="008C3B3E" w:rsidRDefault="00467D8D" w:rsidP="00467D8D">
      <w:pPr>
        <w:spacing w:after="0" w:line="240" w:lineRule="auto"/>
        <w:jc w:val="both"/>
        <w:rPr>
          <w:rFonts w:asciiTheme="minorBidi" w:hAnsiTheme="minorBidi"/>
        </w:rPr>
      </w:pPr>
      <w:r w:rsidRPr="008C3B3E">
        <w:rPr>
          <w:rFonts w:asciiTheme="minorBidi" w:hAnsiTheme="minorBidi"/>
        </w:rPr>
        <w:t xml:space="preserve">All are welcome to attend. </w:t>
      </w:r>
    </w:p>
    <w:p w:rsidR="00630BBC" w:rsidRDefault="00630BBC"/>
    <w:sectPr w:rsidR="00630BBC" w:rsidSect="000A5A0C">
      <w:pgSz w:w="11906" w:h="16838"/>
      <w:pgMar w:top="720" w:right="1247" w:bottom="72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A5B3D13-2BB6-448B-9B8A-E00688741107}"/>
    <w:docVar w:name="dgnword-eventsink" w:val="879374504"/>
  </w:docVars>
  <w:rsids>
    <w:rsidRoot w:val="00467D8D"/>
    <w:rsid w:val="00467D8D"/>
    <w:rsid w:val="0063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09D681-5C56-4FC8-87C0-0CC9BCEE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D8D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312</Words>
  <Characters>1779</Characters>
  <Application>Microsoft Office Word</Application>
  <DocSecurity>0</DocSecurity>
  <Lines>14</Lines>
  <Paragraphs>4</Paragraphs>
  <ScaleCrop>false</ScaleCrop>
  <Company>University of Hull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Cohen-Almagor</dc:creator>
  <cp:keywords/>
  <dc:description/>
  <cp:lastModifiedBy>Raphael Cohen-Almagor</cp:lastModifiedBy>
  <cp:revision>1</cp:revision>
  <dcterms:created xsi:type="dcterms:W3CDTF">2018-10-15T08:42:00Z</dcterms:created>
  <dcterms:modified xsi:type="dcterms:W3CDTF">2018-10-15T08:47:00Z</dcterms:modified>
</cp:coreProperties>
</file>